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0934E042"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497AB4">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DC02AF">
        <w:rPr>
          <w:rFonts w:ascii="Arial" w:eastAsia="SimSun" w:hAnsi="Arial"/>
          <w:b/>
          <w:sz w:val="24"/>
          <w:lang w:eastAsia="zh-CN"/>
        </w:rPr>
        <w:t>9423</w:t>
      </w:r>
    </w:p>
    <w:p w14:paraId="69814E2E" w14:textId="6EAC47C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497AB4">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w:t>
      </w:r>
      <w:r w:rsidR="00497AB4">
        <w:rPr>
          <w:rFonts w:ascii="Arial" w:eastAsia="SimSun" w:hAnsi="Arial"/>
          <w:b/>
          <w:sz w:val="24"/>
          <w:lang w:eastAsia="zh-CN"/>
        </w:rPr>
        <w:t>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97AB4">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803605B"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D35D28">
        <w:rPr>
          <w:rFonts w:eastAsia="SimSun"/>
          <w:sz w:val="24"/>
          <w:lang w:val="en-US" w:eastAsia="zh-CN"/>
        </w:rPr>
        <w:t>Further discussion on UL Tx switching</w:t>
      </w:r>
      <w:r w:rsidR="004568E6">
        <w:rPr>
          <w:rFonts w:eastAsia="SimSun"/>
          <w:sz w:val="24"/>
          <w:lang w:val="en-US" w:eastAsia="zh-CN"/>
        </w:rPr>
        <w:t xml:space="preserve"> between 2 uplink </w:t>
      </w:r>
      <w:r w:rsidR="00E13812">
        <w:rPr>
          <w:rFonts w:eastAsia="SimSun"/>
          <w:sz w:val="24"/>
          <w:lang w:val="en-US" w:eastAsia="zh-CN"/>
        </w:rPr>
        <w:t>band</w:t>
      </w:r>
      <w:r w:rsidR="004568E6">
        <w:rPr>
          <w:rFonts w:eastAsia="SimSun"/>
          <w:sz w:val="24"/>
          <w:lang w:val="en-US" w:eastAsia="zh-CN"/>
        </w:rPr>
        <w:t>s</w:t>
      </w:r>
      <w:r w:rsidR="00D35D28">
        <w:rPr>
          <w:rFonts w:eastAsia="SimSun"/>
          <w:sz w:val="24"/>
          <w:lang w:val="en-US" w:eastAsia="zh-CN"/>
        </w:rPr>
        <w:t xml:space="preserve"> in Rel-17</w:t>
      </w:r>
    </w:p>
    <w:p w14:paraId="6E5F21F2" w14:textId="5DA73406" w:rsidR="00226A6A" w:rsidRPr="00D35D28" w:rsidRDefault="00226A6A" w:rsidP="00226A6A">
      <w:pPr>
        <w:pStyle w:val="Header"/>
        <w:tabs>
          <w:tab w:val="clear" w:pos="4536"/>
          <w:tab w:val="clear" w:pos="9072"/>
          <w:tab w:val="left" w:pos="1800"/>
          <w:tab w:val="left" w:pos="3825"/>
        </w:tabs>
        <w:spacing w:after="60"/>
        <w:jc w:val="both"/>
        <w:rPr>
          <w:rFonts w:eastAsia="SimSun"/>
          <w:sz w:val="24"/>
          <w:lang w:val="sv-SE" w:eastAsia="zh-CN"/>
        </w:rPr>
      </w:pPr>
      <w:r w:rsidRPr="00253F46">
        <w:rPr>
          <w:sz w:val="24"/>
        </w:rPr>
        <w:t>Agenda Item:</w:t>
      </w:r>
      <w:r w:rsidRPr="00253F46">
        <w:rPr>
          <w:sz w:val="24"/>
        </w:rPr>
        <w:tab/>
      </w:r>
      <w:r w:rsidR="002025EF">
        <w:rPr>
          <w:rFonts w:eastAsia="SimSun"/>
          <w:sz w:val="24"/>
          <w:lang w:val="sv-SE" w:eastAsia="zh-CN"/>
        </w:rPr>
        <w:t>9</w:t>
      </w:r>
      <w:r w:rsidR="00722CE4" w:rsidRPr="00D35D28">
        <w:rPr>
          <w:rFonts w:eastAsia="SimSun"/>
          <w:sz w:val="24"/>
          <w:lang w:val="sv-SE" w:eastAsia="zh-CN"/>
        </w:rPr>
        <w:t>.</w:t>
      </w:r>
      <w:r w:rsidR="002025EF">
        <w:rPr>
          <w:rFonts w:eastAsia="SimSun"/>
          <w:sz w:val="24"/>
          <w:lang w:val="sv-SE" w:eastAsia="zh-CN"/>
        </w:rPr>
        <w:t>3</w:t>
      </w:r>
      <w:r w:rsidR="00D35D28">
        <w:rPr>
          <w:rFonts w:eastAsia="SimSun"/>
          <w:sz w:val="24"/>
          <w:lang w:val="sv-SE" w:eastAsia="zh-CN"/>
        </w:rPr>
        <w:t>.2</w:t>
      </w:r>
      <w:r w:rsidR="00722CE4" w:rsidRPr="00D35D28">
        <w:rPr>
          <w:rFonts w:eastAsia="SimSun"/>
          <w:sz w:val="24"/>
          <w:lang w:val="sv-SE" w:eastAsia="zh-CN"/>
        </w:rPr>
        <w:t>.</w:t>
      </w:r>
      <w:r w:rsidR="00E13812">
        <w:rPr>
          <w:rFonts w:eastAsia="SimSun"/>
          <w:sz w:val="24"/>
          <w:lang w:val="sv-SE"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7888BC9C" w14:textId="6932DDF5" w:rsidR="00B440FF" w:rsidRDefault="008F022D"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RAN4#98-e, </w:t>
      </w:r>
      <w:r w:rsidR="004022F2">
        <w:rPr>
          <w:rFonts w:eastAsia="SimSun"/>
          <w:sz w:val="21"/>
          <w:szCs w:val="21"/>
          <w:lang w:val="en-US" w:eastAsia="zh-CN"/>
        </w:rPr>
        <w:t xml:space="preserve">new </w:t>
      </w:r>
      <w:r>
        <w:rPr>
          <w:rFonts w:eastAsia="SimSun"/>
          <w:sz w:val="21"/>
          <w:szCs w:val="21"/>
          <w:lang w:val="en-US" w:eastAsia="zh-CN"/>
        </w:rPr>
        <w:t xml:space="preserve">Rel-17 UL Tx switching, i.e., 2Tx to 2Tx switching for 2 carriers, and both 1Tx to 2Tx and 2Tx to 2Tx switching between one carrier at Band A and two consecutive carriers at Band B, </w:t>
      </w:r>
      <w:r w:rsidR="004D2978">
        <w:rPr>
          <w:rFonts w:eastAsia="SimSun"/>
          <w:sz w:val="21"/>
          <w:szCs w:val="21"/>
          <w:lang w:val="en-US" w:eastAsia="zh-CN"/>
        </w:rPr>
        <w:t>has been discussed [1]</w:t>
      </w:r>
      <w:r w:rsidR="0092644A">
        <w:rPr>
          <w:rFonts w:eastAsia="SimSun"/>
          <w:sz w:val="21"/>
          <w:szCs w:val="21"/>
          <w:lang w:val="en-US" w:eastAsia="zh-CN"/>
        </w:rPr>
        <w:t>, where switching between two uplink bands consists of two schemes: 1Tx-2Tx switching and 2Tx-2Tx switching as shown in below figure:</w:t>
      </w:r>
    </w:p>
    <w:p w14:paraId="5F79E501" w14:textId="7288E7ED" w:rsidR="0092644A" w:rsidRDefault="0092644A" w:rsidP="0092644A">
      <w:pPr>
        <w:pStyle w:val="BodyText"/>
        <w:tabs>
          <w:tab w:val="num" w:pos="226"/>
          <w:tab w:val="num" w:pos="284"/>
          <w:tab w:val="left" w:pos="5103"/>
        </w:tabs>
        <w:snapToGrid w:val="0"/>
        <w:spacing w:beforeLines="50" w:before="156"/>
        <w:jc w:val="center"/>
        <w:rPr>
          <w:rFonts w:eastAsia="SimSun"/>
          <w:sz w:val="21"/>
          <w:szCs w:val="21"/>
          <w:lang w:val="en-US" w:eastAsia="zh-CN"/>
        </w:rPr>
      </w:pPr>
      <w:r>
        <w:rPr>
          <w:rFonts w:eastAsia="SimSun"/>
          <w:bCs/>
          <w:noProof/>
          <w:sz w:val="21"/>
          <w:szCs w:val="21"/>
          <w:lang w:val="en-GB" w:eastAsia="zh-CN"/>
        </w:rPr>
        <w:drawing>
          <wp:inline distT="0" distB="0" distL="0" distR="0" wp14:anchorId="384C1D8D" wp14:editId="22AAD0FE">
            <wp:extent cx="3952010" cy="54183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987128" cy="5466543"/>
                    </a:xfrm>
                    <a:prstGeom prst="rect">
                      <a:avLst/>
                    </a:prstGeom>
                  </pic:spPr>
                </pic:pic>
              </a:graphicData>
            </a:graphic>
          </wp:inline>
        </w:drawing>
      </w:r>
    </w:p>
    <w:p w14:paraId="0936687C" w14:textId="1462D56B" w:rsidR="0092644A" w:rsidRDefault="0092644A" w:rsidP="0092644A">
      <w:pPr>
        <w:pStyle w:val="BodyText"/>
        <w:tabs>
          <w:tab w:val="num" w:pos="226"/>
          <w:tab w:val="num" w:pos="284"/>
          <w:tab w:val="left" w:pos="5103"/>
        </w:tabs>
        <w:snapToGrid w:val="0"/>
        <w:spacing w:beforeLines="50" w:before="156"/>
        <w:jc w:val="center"/>
        <w:rPr>
          <w:rFonts w:eastAsia="SimSun"/>
          <w:sz w:val="21"/>
          <w:szCs w:val="21"/>
          <w:lang w:val="en-US" w:eastAsia="zh-CN"/>
        </w:rPr>
      </w:pPr>
      <w:r>
        <w:rPr>
          <w:rFonts w:eastAsia="SimSun"/>
          <w:sz w:val="21"/>
          <w:szCs w:val="21"/>
          <w:lang w:val="en-US" w:eastAsia="zh-CN"/>
        </w:rPr>
        <w:t>Fig. 1, UL Tx switching between two uplink bands in Rel-17</w:t>
      </w:r>
    </w:p>
    <w:p w14:paraId="5CAFDCA2" w14:textId="28CB6C4B" w:rsidR="00FC1706" w:rsidRDefault="00517A56" w:rsidP="00EB1460">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 xml:space="preserve">In </w:t>
      </w:r>
      <w:r w:rsidR="004022F2">
        <w:rPr>
          <w:rFonts w:eastAsia="SimSun"/>
          <w:sz w:val="21"/>
          <w:szCs w:val="21"/>
          <w:lang w:val="en-US" w:eastAsia="zh-CN"/>
        </w:rPr>
        <w:t>this contribution, we</w:t>
      </w:r>
      <w:r w:rsidR="004425BC">
        <w:rPr>
          <w:rFonts w:eastAsia="SimSun"/>
          <w:sz w:val="21"/>
          <w:szCs w:val="21"/>
          <w:lang w:val="en-US" w:eastAsia="zh-CN"/>
        </w:rPr>
        <w:t xml:space="preserve"> </w:t>
      </w:r>
      <w:r w:rsidR="000E4EC2">
        <w:rPr>
          <w:rFonts w:eastAsia="SimSun"/>
          <w:sz w:val="21"/>
          <w:szCs w:val="21"/>
          <w:lang w:val="en-US" w:eastAsia="zh-CN"/>
        </w:rPr>
        <w:t>observe</w:t>
      </w:r>
      <w:r w:rsidR="004425BC">
        <w:rPr>
          <w:rFonts w:eastAsia="SimSun"/>
          <w:sz w:val="21"/>
          <w:szCs w:val="21"/>
          <w:lang w:val="en-US" w:eastAsia="zh-CN"/>
        </w:rPr>
        <w:t xml:space="preserve"> that the new switching schemes require to combine int</w:t>
      </w:r>
      <w:r w:rsidR="009438A1">
        <w:rPr>
          <w:rFonts w:eastAsia="SimSun"/>
          <w:sz w:val="21"/>
          <w:szCs w:val="21"/>
          <w:lang w:val="en-US" w:eastAsia="zh-CN"/>
        </w:rPr>
        <w:t>er</w:t>
      </w:r>
      <w:r w:rsidR="004425BC">
        <w:rPr>
          <w:rFonts w:eastAsia="SimSun"/>
          <w:sz w:val="21"/>
          <w:szCs w:val="21"/>
          <w:lang w:val="en-US" w:eastAsia="zh-CN"/>
        </w:rPr>
        <w:t>-band and intr</w:t>
      </w:r>
      <w:r w:rsidR="009438A1">
        <w:rPr>
          <w:rFonts w:eastAsia="SimSun"/>
          <w:sz w:val="21"/>
          <w:szCs w:val="21"/>
          <w:lang w:val="en-US" w:eastAsia="zh-CN"/>
        </w:rPr>
        <w:t>a</w:t>
      </w:r>
      <w:r w:rsidR="004425BC">
        <w:rPr>
          <w:rFonts w:eastAsia="SimSun"/>
          <w:sz w:val="21"/>
          <w:szCs w:val="21"/>
          <w:lang w:val="en-US" w:eastAsia="zh-CN"/>
        </w:rPr>
        <w:t xml:space="preserve">-band </w:t>
      </w:r>
      <w:r w:rsidR="009438A1">
        <w:rPr>
          <w:rFonts w:eastAsia="SimSun"/>
          <w:sz w:val="21"/>
          <w:szCs w:val="21"/>
          <w:lang w:val="en-US" w:eastAsia="zh-CN"/>
        </w:rPr>
        <w:t xml:space="preserve">contiguous </w:t>
      </w:r>
      <w:r w:rsidR="004425BC">
        <w:rPr>
          <w:rFonts w:eastAsia="SimSun"/>
          <w:sz w:val="21"/>
          <w:szCs w:val="21"/>
          <w:lang w:val="en-US" w:eastAsia="zh-CN"/>
        </w:rPr>
        <w:t>CA together with UL-MIMO</w:t>
      </w:r>
      <w:r w:rsidR="000E4EC2">
        <w:rPr>
          <w:rFonts w:eastAsia="SimSun"/>
          <w:sz w:val="21"/>
          <w:szCs w:val="21"/>
          <w:lang w:val="en-US" w:eastAsia="zh-CN"/>
        </w:rPr>
        <w:t>, and further discuss some potential issues related to this combining</w:t>
      </w:r>
      <w:r w:rsidR="008D6FE4">
        <w:rPr>
          <w:rFonts w:eastAsia="SimSun"/>
          <w:sz w:val="21"/>
          <w:szCs w:val="21"/>
          <w:lang w:val="en-US" w:eastAsia="zh-CN"/>
        </w:rPr>
        <w:t>.</w:t>
      </w:r>
    </w:p>
    <w:p w14:paraId="428E45ED" w14:textId="410E8D81" w:rsidR="00013929" w:rsidRPr="009438A1" w:rsidRDefault="00136F27" w:rsidP="009438A1">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5C70A75" w14:textId="3DBAB44B" w:rsidR="00EB1460" w:rsidRDefault="009438A1" w:rsidP="008B3D08">
      <w:pPr>
        <w:pStyle w:val="BodyText"/>
        <w:tabs>
          <w:tab w:val="num" w:pos="226"/>
          <w:tab w:val="num" w:pos="284"/>
          <w:tab w:val="left" w:pos="5103"/>
        </w:tabs>
        <w:snapToGrid w:val="0"/>
        <w:jc w:val="center"/>
        <w:rPr>
          <w:rFonts w:eastAsia="SimSun"/>
          <w:b/>
          <w:bCs/>
          <w:sz w:val="21"/>
          <w:szCs w:val="21"/>
          <w:lang w:val="en-GB" w:eastAsia="zh-CN"/>
        </w:rPr>
      </w:pPr>
      <w:r>
        <w:rPr>
          <w:rFonts w:eastAsia="SimSun"/>
          <w:b/>
          <w:bCs/>
          <w:noProof/>
          <w:sz w:val="21"/>
          <w:szCs w:val="21"/>
          <w:lang w:val="en-GB" w:eastAsia="zh-CN"/>
        </w:rPr>
        <w:drawing>
          <wp:inline distT="0" distB="0" distL="0" distR="0" wp14:anchorId="3EA377F0" wp14:editId="01BDB90A">
            <wp:extent cx="4959614" cy="30756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4968995" cy="3081440"/>
                    </a:xfrm>
                    <a:prstGeom prst="rect">
                      <a:avLst/>
                    </a:prstGeom>
                  </pic:spPr>
                </pic:pic>
              </a:graphicData>
            </a:graphic>
          </wp:inline>
        </w:drawing>
      </w:r>
    </w:p>
    <w:p w14:paraId="6BF06304" w14:textId="082C3653" w:rsidR="008B3D08" w:rsidRPr="008B3D08" w:rsidRDefault="008B3D08" w:rsidP="008B3D08">
      <w:pPr>
        <w:pStyle w:val="BodyText"/>
        <w:tabs>
          <w:tab w:val="num" w:pos="226"/>
          <w:tab w:val="num" w:pos="284"/>
          <w:tab w:val="left" w:pos="5103"/>
        </w:tabs>
        <w:snapToGrid w:val="0"/>
        <w:jc w:val="center"/>
        <w:rPr>
          <w:rFonts w:eastAsia="SimSun"/>
          <w:sz w:val="21"/>
          <w:szCs w:val="21"/>
          <w:lang w:val="en-GB" w:eastAsia="zh-CN"/>
        </w:rPr>
      </w:pPr>
      <w:r w:rsidRPr="008B3D08">
        <w:rPr>
          <w:rFonts w:eastAsia="SimSun"/>
          <w:sz w:val="21"/>
          <w:szCs w:val="21"/>
          <w:lang w:val="en-GB" w:eastAsia="zh-CN"/>
        </w:rPr>
        <w:t>Fig</w:t>
      </w:r>
      <w:r>
        <w:rPr>
          <w:rFonts w:eastAsia="SimSun"/>
          <w:sz w:val="21"/>
          <w:szCs w:val="21"/>
          <w:lang w:val="en-GB" w:eastAsia="zh-CN"/>
        </w:rPr>
        <w:t>. 2, Combining int</w:t>
      </w:r>
      <w:r w:rsidR="00222565">
        <w:rPr>
          <w:rFonts w:eastAsia="SimSun"/>
          <w:sz w:val="21"/>
          <w:szCs w:val="21"/>
          <w:lang w:val="en-GB" w:eastAsia="zh-CN"/>
        </w:rPr>
        <w:t>er</w:t>
      </w:r>
      <w:r>
        <w:rPr>
          <w:rFonts w:eastAsia="SimSun"/>
          <w:sz w:val="21"/>
          <w:szCs w:val="21"/>
          <w:lang w:val="en-GB" w:eastAsia="zh-CN"/>
        </w:rPr>
        <w:t>-band and intr</w:t>
      </w:r>
      <w:r w:rsidR="00222565">
        <w:rPr>
          <w:rFonts w:eastAsia="SimSun"/>
          <w:sz w:val="21"/>
          <w:szCs w:val="21"/>
          <w:lang w:val="en-GB" w:eastAsia="zh-CN"/>
        </w:rPr>
        <w:t>a</w:t>
      </w:r>
      <w:r>
        <w:rPr>
          <w:rFonts w:eastAsia="SimSun"/>
          <w:sz w:val="21"/>
          <w:szCs w:val="21"/>
          <w:lang w:val="en-GB" w:eastAsia="zh-CN"/>
        </w:rPr>
        <w:t xml:space="preserve">-band </w:t>
      </w:r>
      <w:r w:rsidR="00222565">
        <w:rPr>
          <w:rFonts w:eastAsia="SimSun"/>
          <w:sz w:val="21"/>
          <w:szCs w:val="21"/>
          <w:lang w:val="en-GB" w:eastAsia="zh-CN"/>
        </w:rPr>
        <w:t xml:space="preserve">contiguous </w:t>
      </w:r>
      <w:r>
        <w:rPr>
          <w:rFonts w:eastAsia="SimSun"/>
          <w:sz w:val="21"/>
          <w:szCs w:val="21"/>
          <w:lang w:val="en-GB" w:eastAsia="zh-CN"/>
        </w:rPr>
        <w:t>CA with UL-MIMO</w:t>
      </w:r>
    </w:p>
    <w:p w14:paraId="00EB19B6" w14:textId="575AE376" w:rsidR="008B3D08" w:rsidRDefault="00D759D4"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Fig. 2 illustrates how Tx switching between two uplink bands involves combining inter-band and intra-band contiguous CA with UL-MIMO.</w:t>
      </w:r>
      <w:r w:rsidR="009C3AF1">
        <w:rPr>
          <w:rFonts w:eastAsia="SimSun"/>
          <w:sz w:val="21"/>
          <w:szCs w:val="21"/>
          <w:lang w:val="en-GB" w:eastAsia="zh-CN"/>
        </w:rPr>
        <w:t xml:space="preserve"> The whole framework is the inter-band CA between band A</w:t>
      </w:r>
      <w:r w:rsidR="00553E24">
        <w:rPr>
          <w:rFonts w:eastAsia="SimSun"/>
          <w:sz w:val="21"/>
          <w:szCs w:val="21"/>
          <w:lang w:val="en-GB" w:eastAsia="zh-CN"/>
        </w:rPr>
        <w:t xml:space="preserve"> </w:t>
      </w:r>
      <w:r w:rsidR="009C3AF1">
        <w:rPr>
          <w:rFonts w:eastAsia="SimSun"/>
          <w:sz w:val="21"/>
          <w:szCs w:val="21"/>
          <w:lang w:val="en-GB" w:eastAsia="zh-CN"/>
        </w:rPr>
        <w:t>(Carrier #1) and band B</w:t>
      </w:r>
      <w:r w:rsidR="00553E24">
        <w:rPr>
          <w:rFonts w:eastAsia="SimSun"/>
          <w:sz w:val="21"/>
          <w:szCs w:val="21"/>
          <w:lang w:val="en-GB" w:eastAsia="zh-CN"/>
        </w:rPr>
        <w:t xml:space="preserve"> </w:t>
      </w:r>
      <w:r w:rsidR="009C3AF1">
        <w:rPr>
          <w:rFonts w:eastAsia="SimSun"/>
          <w:sz w:val="21"/>
          <w:szCs w:val="21"/>
          <w:lang w:val="en-GB" w:eastAsia="zh-CN"/>
        </w:rPr>
        <w:t>(Carrier#2 and #3), and there is also intra-band contiguous CA operation within band B (Carrier#2 and #3), in addition to 2Tx for band B.</w:t>
      </w:r>
    </w:p>
    <w:p w14:paraId="4CE4CB7C" w14:textId="260FCBDB" w:rsidR="009C3AF1" w:rsidRPr="00A756EC" w:rsidRDefault="009C3AF1" w:rsidP="009C0ACA">
      <w:pPr>
        <w:pStyle w:val="BodyText"/>
        <w:tabs>
          <w:tab w:val="num" w:pos="226"/>
          <w:tab w:val="num" w:pos="284"/>
          <w:tab w:val="left" w:pos="5103"/>
        </w:tabs>
        <w:snapToGrid w:val="0"/>
        <w:rPr>
          <w:rFonts w:eastAsia="SimSun"/>
          <w:b/>
          <w:bCs/>
          <w:sz w:val="21"/>
          <w:szCs w:val="21"/>
          <w:lang w:val="en-GB" w:eastAsia="zh-CN"/>
        </w:rPr>
      </w:pPr>
      <w:r w:rsidRPr="00A756EC">
        <w:rPr>
          <w:rFonts w:eastAsia="SimSun"/>
          <w:b/>
          <w:bCs/>
          <w:sz w:val="21"/>
          <w:szCs w:val="21"/>
          <w:lang w:val="en-GB" w:eastAsia="zh-CN"/>
        </w:rPr>
        <w:t xml:space="preserve">Observation 1: </w:t>
      </w:r>
      <w:r w:rsidR="00A756EC" w:rsidRPr="00A756EC">
        <w:rPr>
          <w:rFonts w:eastAsia="SimSun"/>
          <w:b/>
          <w:bCs/>
          <w:sz w:val="21"/>
          <w:szCs w:val="21"/>
          <w:lang w:val="en-GB" w:eastAsia="zh-CN"/>
        </w:rPr>
        <w:t>Tx switching between two uplink bands in Rel-17 involves combining inter-band and intra-band contiguous CA with UL-MIMO.</w:t>
      </w:r>
    </w:p>
    <w:p w14:paraId="566BC8C2" w14:textId="6E2085C0" w:rsidR="008B3D08" w:rsidRDefault="00410A03"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Subsequently, some RF requirements need to be studied and clarified on the operation of combining inter-band, intra-band contiguous and UL-MIMO, e.g., MPR/A-MRP, configured transmitted power etc.</w:t>
      </w:r>
    </w:p>
    <w:p w14:paraId="70B7FC5A" w14:textId="48B22AE9" w:rsidR="00410A03" w:rsidRPr="00245EAE" w:rsidRDefault="00245EAE" w:rsidP="009C0ACA">
      <w:pPr>
        <w:pStyle w:val="BodyText"/>
        <w:tabs>
          <w:tab w:val="num" w:pos="226"/>
          <w:tab w:val="num" w:pos="284"/>
          <w:tab w:val="left" w:pos="5103"/>
        </w:tabs>
        <w:snapToGrid w:val="0"/>
        <w:rPr>
          <w:rFonts w:eastAsia="SimSun"/>
          <w:b/>
          <w:bCs/>
          <w:sz w:val="21"/>
          <w:szCs w:val="21"/>
          <w:lang w:val="en-GB" w:eastAsia="zh-CN"/>
        </w:rPr>
      </w:pPr>
      <w:r w:rsidRPr="00245EAE">
        <w:rPr>
          <w:rFonts w:eastAsia="SimSun"/>
          <w:b/>
          <w:bCs/>
          <w:sz w:val="21"/>
          <w:szCs w:val="21"/>
          <w:lang w:val="en-GB" w:eastAsia="zh-CN"/>
        </w:rPr>
        <w:t>Proposal 1: RAN4 to study and clarify some RF requirements, e.g., MPR/A-MPR, configured transmitted power etc., on the operation of combining inter-band, intra-band contiguous CA and UL-MIMO.</w:t>
      </w:r>
    </w:p>
    <w:p w14:paraId="1BA75384" w14:textId="0AA1F6A4" w:rsidR="00245EAE" w:rsidRPr="008B3D08" w:rsidRDefault="00245EAE"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In current RAN4 specs, RF requirements are divided into sub-clauses with different suffix corresponding to the features, e.g., suffix A refers to CA operation, B refers to DC operation, C refers to SUL operation, and D refers to UL-MIMO operation. Considering Tx switching between 2 uplink bands in Rel-17 is the combination of inter-band, intra-band CA and UL-MIMO, if </w:t>
      </w:r>
      <w:r w:rsidR="00914185">
        <w:rPr>
          <w:rFonts w:eastAsia="SimSun"/>
          <w:sz w:val="21"/>
          <w:szCs w:val="21"/>
          <w:lang w:val="en-GB" w:eastAsia="zh-CN"/>
        </w:rPr>
        <w:t>some RF requirements related to the operation need to be specified, then in which sub-clause in the specs these RF requirements should be captured should be discussed at first.</w:t>
      </w:r>
      <w:r>
        <w:rPr>
          <w:rFonts w:eastAsia="SimSun"/>
          <w:sz w:val="21"/>
          <w:szCs w:val="21"/>
          <w:lang w:val="en-GB" w:eastAsia="zh-CN"/>
        </w:rPr>
        <w:t xml:space="preserve"> </w:t>
      </w:r>
    </w:p>
    <w:p w14:paraId="7BFFF71C" w14:textId="4E871F02"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914185">
        <w:rPr>
          <w:rFonts w:eastAsia="SimSun"/>
          <w:b/>
          <w:bCs/>
          <w:sz w:val="21"/>
          <w:szCs w:val="21"/>
          <w:lang w:val="en-GB" w:eastAsia="zh-CN"/>
        </w:rPr>
        <w:t xml:space="preserve"> 2</w:t>
      </w:r>
      <w:r w:rsidRPr="009C0ACA">
        <w:rPr>
          <w:rFonts w:eastAsia="SimSun"/>
          <w:b/>
          <w:bCs/>
          <w:sz w:val="21"/>
          <w:szCs w:val="21"/>
          <w:lang w:val="en-GB" w:eastAsia="zh-CN"/>
        </w:rPr>
        <w:t>:</w:t>
      </w:r>
      <w:r w:rsidR="00914185">
        <w:rPr>
          <w:rFonts w:eastAsia="SimSun"/>
          <w:b/>
          <w:bCs/>
          <w:sz w:val="21"/>
          <w:szCs w:val="21"/>
          <w:lang w:val="en-GB" w:eastAsia="zh-CN"/>
        </w:rPr>
        <w:t xml:space="preserve"> If </w:t>
      </w:r>
      <w:r w:rsidR="00914185" w:rsidRPr="00914185">
        <w:rPr>
          <w:rFonts w:eastAsia="SimSun"/>
          <w:b/>
          <w:bCs/>
          <w:sz w:val="21"/>
          <w:szCs w:val="21"/>
          <w:lang w:val="en-GB" w:eastAsia="zh-CN"/>
        </w:rPr>
        <w:t>some RF requirements related to the operation need to be specified,</w:t>
      </w:r>
      <w:r w:rsidR="00914185">
        <w:rPr>
          <w:rFonts w:eastAsia="SimSun"/>
          <w:b/>
          <w:bCs/>
          <w:sz w:val="21"/>
          <w:szCs w:val="21"/>
          <w:lang w:val="en-GB" w:eastAsia="zh-CN"/>
        </w:rPr>
        <w:t xml:space="preserve"> then RAN4 should discuss at first </w:t>
      </w:r>
      <w:r w:rsidR="00914185" w:rsidRPr="00914185">
        <w:rPr>
          <w:rFonts w:eastAsia="SimSun"/>
          <w:b/>
          <w:bCs/>
          <w:sz w:val="21"/>
          <w:szCs w:val="21"/>
          <w:lang w:val="en-GB" w:eastAsia="zh-CN"/>
        </w:rPr>
        <w:t>in which sub-clause these RF requirements should be captured</w:t>
      </w:r>
      <w:r w:rsidR="00F135BA">
        <w:rPr>
          <w:rFonts w:eastAsia="SimSun"/>
          <w:b/>
          <w:bCs/>
          <w:sz w:val="21"/>
          <w:szCs w:val="21"/>
          <w:lang w:val="en-GB" w:eastAsia="zh-CN"/>
        </w:rPr>
        <w:t xml:space="preserve"> in the specs</w:t>
      </w:r>
      <w:r w:rsidR="004A4790">
        <w:rPr>
          <w:rFonts w:eastAsia="SimSun"/>
          <w:b/>
          <w:bCs/>
          <w:sz w:val="21"/>
          <w:szCs w:val="21"/>
          <w:lang w:val="en-GB" w:eastAsia="zh-CN"/>
        </w:rPr>
        <w:t>.</w:t>
      </w:r>
      <w:r w:rsidR="00AF36B7">
        <w:rPr>
          <w:rFonts w:eastAsia="SimSun"/>
          <w:b/>
          <w:bCs/>
          <w:sz w:val="21"/>
          <w:szCs w:val="21"/>
          <w:lang w:val="en-GB" w:eastAsia="zh-CN"/>
        </w:rPr>
        <w:t xml:space="preserve"> </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502CB6DF"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F901A8">
        <w:rPr>
          <w:rFonts w:eastAsia="SimSun"/>
          <w:bCs/>
          <w:sz w:val="21"/>
          <w:szCs w:val="21"/>
          <w:lang w:val="en-GB" w:eastAsia="zh-CN"/>
        </w:rPr>
        <w:t>s</w:t>
      </w:r>
      <w:r>
        <w:rPr>
          <w:rFonts w:eastAsia="SimSun"/>
          <w:bCs/>
          <w:sz w:val="21"/>
          <w:szCs w:val="21"/>
          <w:lang w:val="en-GB" w:eastAsia="zh-CN"/>
        </w:rPr>
        <w:t xml:space="preserve"> and proposal for </w:t>
      </w:r>
      <w:r w:rsidR="00E469B6">
        <w:rPr>
          <w:rFonts w:eastAsia="SimSun"/>
          <w:bCs/>
          <w:sz w:val="21"/>
          <w:szCs w:val="21"/>
          <w:lang w:val="en-GB" w:eastAsia="zh-CN"/>
        </w:rPr>
        <w:t>Tx</w:t>
      </w:r>
      <w:r w:rsidR="00C07C34">
        <w:rPr>
          <w:rFonts w:eastAsia="SimSun"/>
          <w:bCs/>
          <w:sz w:val="21"/>
          <w:szCs w:val="21"/>
          <w:lang w:val="en-GB" w:eastAsia="zh-CN"/>
        </w:rPr>
        <w:t xml:space="preserve"> switching between two uplink </w:t>
      </w:r>
      <w:r w:rsidR="00E469B6">
        <w:rPr>
          <w:rFonts w:eastAsia="SimSun"/>
          <w:bCs/>
          <w:sz w:val="21"/>
          <w:szCs w:val="21"/>
          <w:lang w:val="en-GB" w:eastAsia="zh-CN"/>
        </w:rPr>
        <w:t>bands</w:t>
      </w:r>
      <w:r w:rsidR="00C07C34">
        <w:rPr>
          <w:rFonts w:eastAsia="SimSun"/>
          <w:bCs/>
          <w:sz w:val="21"/>
          <w:szCs w:val="21"/>
          <w:lang w:val="en-GB" w:eastAsia="zh-CN"/>
        </w:rPr>
        <w:t xml:space="preserve"> in Rel-17</w:t>
      </w:r>
      <w:r w:rsidR="00F901A8">
        <w:rPr>
          <w:rFonts w:eastAsia="SimSun"/>
          <w:bCs/>
          <w:sz w:val="21"/>
          <w:szCs w:val="21"/>
          <w:lang w:val="en-GB" w:eastAsia="zh-CN"/>
        </w:rPr>
        <w:t>:</w:t>
      </w:r>
    </w:p>
    <w:p w14:paraId="33B6F614" w14:textId="537974B2" w:rsidR="00E346FA" w:rsidRDefault="00251A97" w:rsidP="00E346FA">
      <w:pPr>
        <w:pStyle w:val="BodyText"/>
        <w:tabs>
          <w:tab w:val="num" w:pos="226"/>
          <w:tab w:val="num" w:pos="284"/>
          <w:tab w:val="left" w:pos="5103"/>
        </w:tabs>
        <w:snapToGrid w:val="0"/>
        <w:rPr>
          <w:rFonts w:eastAsia="SimSun"/>
          <w:b/>
          <w:bCs/>
          <w:sz w:val="21"/>
          <w:szCs w:val="21"/>
          <w:lang w:val="en-GB" w:eastAsia="zh-CN"/>
        </w:rPr>
      </w:pPr>
      <w:r w:rsidRPr="00A756EC">
        <w:rPr>
          <w:rFonts w:eastAsia="SimSun"/>
          <w:b/>
          <w:bCs/>
          <w:sz w:val="21"/>
          <w:szCs w:val="21"/>
          <w:lang w:val="en-GB" w:eastAsia="zh-CN"/>
        </w:rPr>
        <w:t>Observation 1: Tx switching between two uplink bands in Rel-17 involves combining inter-band and intra-band contiguous CA with UL-MIMO.</w:t>
      </w:r>
    </w:p>
    <w:p w14:paraId="757EB8F6" w14:textId="06F272FB" w:rsidR="00251A97" w:rsidRDefault="00251A97" w:rsidP="00E346FA">
      <w:pPr>
        <w:pStyle w:val="BodyText"/>
        <w:tabs>
          <w:tab w:val="num" w:pos="226"/>
          <w:tab w:val="num" w:pos="284"/>
          <w:tab w:val="left" w:pos="5103"/>
        </w:tabs>
        <w:snapToGrid w:val="0"/>
        <w:rPr>
          <w:rFonts w:eastAsia="SimSun"/>
          <w:b/>
          <w:bCs/>
          <w:sz w:val="21"/>
          <w:szCs w:val="21"/>
          <w:lang w:val="en-GB" w:eastAsia="zh-CN"/>
        </w:rPr>
      </w:pPr>
      <w:r w:rsidRPr="00245EAE">
        <w:rPr>
          <w:rFonts w:eastAsia="SimSun"/>
          <w:b/>
          <w:bCs/>
          <w:sz w:val="21"/>
          <w:szCs w:val="21"/>
          <w:lang w:val="en-GB" w:eastAsia="zh-CN"/>
        </w:rPr>
        <w:lastRenderedPageBreak/>
        <w:t>Proposal 1: RAN4 to study and clarify some RF requirements, e.g., MPR/A-MPR, configured transmitted power etc., on the operation of combining inter-band, intra-band contiguous CA and UL-MIMO.</w:t>
      </w:r>
    </w:p>
    <w:p w14:paraId="1E31C2C1" w14:textId="17C28340" w:rsidR="00251A97" w:rsidRDefault="00251A97" w:rsidP="00E346F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w:t>
      </w:r>
      <w:r w:rsidRPr="009C0ACA">
        <w:rPr>
          <w:rFonts w:eastAsia="SimSun"/>
          <w:b/>
          <w:bCs/>
          <w:sz w:val="21"/>
          <w:szCs w:val="21"/>
          <w:lang w:val="en-GB" w:eastAsia="zh-CN"/>
        </w:rPr>
        <w:t>:</w:t>
      </w:r>
      <w:r>
        <w:rPr>
          <w:rFonts w:eastAsia="SimSun"/>
          <w:b/>
          <w:bCs/>
          <w:sz w:val="21"/>
          <w:szCs w:val="21"/>
          <w:lang w:val="en-GB" w:eastAsia="zh-CN"/>
        </w:rPr>
        <w:t xml:space="preserve"> If </w:t>
      </w:r>
      <w:r w:rsidRPr="00914185">
        <w:rPr>
          <w:rFonts w:eastAsia="SimSun"/>
          <w:b/>
          <w:bCs/>
          <w:sz w:val="21"/>
          <w:szCs w:val="21"/>
          <w:lang w:val="en-GB" w:eastAsia="zh-CN"/>
        </w:rPr>
        <w:t>some RF requirements related to the operation need to be specified,</w:t>
      </w:r>
      <w:r>
        <w:rPr>
          <w:rFonts w:eastAsia="SimSun"/>
          <w:b/>
          <w:bCs/>
          <w:sz w:val="21"/>
          <w:szCs w:val="21"/>
          <w:lang w:val="en-GB" w:eastAsia="zh-CN"/>
        </w:rPr>
        <w:t xml:space="preserve"> then RAN4 should discuss at first </w:t>
      </w:r>
      <w:r w:rsidRPr="00914185">
        <w:rPr>
          <w:rFonts w:eastAsia="SimSun"/>
          <w:b/>
          <w:bCs/>
          <w:sz w:val="21"/>
          <w:szCs w:val="21"/>
          <w:lang w:val="en-GB" w:eastAsia="zh-CN"/>
        </w:rPr>
        <w:t>in which sub-clause these RF requirements should be captured</w:t>
      </w:r>
      <w:r>
        <w:rPr>
          <w:rFonts w:eastAsia="SimSun"/>
          <w:b/>
          <w:bCs/>
          <w:sz w:val="21"/>
          <w:szCs w:val="21"/>
          <w:lang w:val="en-GB" w:eastAsia="zh-CN"/>
        </w:rPr>
        <w:t xml:space="preserve"> in the specs.</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7D6ADB78" w14:textId="06C7B535" w:rsidR="00A21BF9" w:rsidRDefault="00D0160F" w:rsidP="0072651C">
      <w:pPr>
        <w:pStyle w:val="List2"/>
      </w:pPr>
      <w:r w:rsidRPr="00D0160F">
        <w:t>R</w:t>
      </w:r>
      <w:r w:rsidR="002000ED">
        <w:t>4-210</w:t>
      </w:r>
      <w:r w:rsidR="003E476C">
        <w:t>5466</w:t>
      </w:r>
      <w:r w:rsidR="002000ED">
        <w:t xml:space="preserve">, </w:t>
      </w:r>
      <w:r w:rsidR="002000ED" w:rsidRPr="002000ED">
        <w:t>Email discussion summary for [98</w:t>
      </w:r>
      <w:r w:rsidR="003E476C">
        <w:t>b-</w:t>
      </w:r>
      <w:r w:rsidR="002000ED" w:rsidRPr="002000ED">
        <w:t>e][1</w:t>
      </w:r>
      <w:r w:rsidR="003E476C">
        <w:t>29</w:t>
      </w:r>
      <w:r w:rsidR="002000ED" w:rsidRPr="002000ED">
        <w:t>] NR_RF_FR1_enh_Part_2</w:t>
      </w:r>
      <w:r w:rsidR="002000ED">
        <w:t>, China Telecom</w:t>
      </w:r>
    </w:p>
    <w:p w14:paraId="367F7624" w14:textId="77777777" w:rsidR="00C00059" w:rsidRPr="00183F7C" w:rsidRDefault="00C00059" w:rsidP="00251A97">
      <w:pPr>
        <w:pStyle w:val="List2"/>
        <w:numPr>
          <w:ilvl w:val="0"/>
          <w:numId w:val="0"/>
        </w:numPr>
      </w:pPr>
    </w:p>
    <w:sectPr w:rsidR="00C00059"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D80D4" w14:textId="77777777" w:rsidR="00A34F65" w:rsidRDefault="00A34F65" w:rsidP="00E7784C">
      <w:r>
        <w:separator/>
      </w:r>
    </w:p>
  </w:endnote>
  <w:endnote w:type="continuationSeparator" w:id="0">
    <w:p w14:paraId="29C36307" w14:textId="77777777" w:rsidR="00A34F65" w:rsidRDefault="00A34F6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5A718" w14:textId="77777777" w:rsidR="00A34F65" w:rsidRDefault="00A34F65" w:rsidP="00E7784C">
      <w:r>
        <w:separator/>
      </w:r>
    </w:p>
  </w:footnote>
  <w:footnote w:type="continuationSeparator" w:id="0">
    <w:p w14:paraId="627A75A0" w14:textId="77777777" w:rsidR="00A34F65" w:rsidRDefault="00A34F6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9ACABF78"/>
    <w:lvl w:ilvl="0" w:tplc="FDF424B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3929"/>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5CD"/>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A94"/>
    <w:rsid w:val="000B6B78"/>
    <w:rsid w:val="000B7043"/>
    <w:rsid w:val="000B743D"/>
    <w:rsid w:val="000B7E43"/>
    <w:rsid w:val="000C002F"/>
    <w:rsid w:val="000C44AD"/>
    <w:rsid w:val="000C4C75"/>
    <w:rsid w:val="000C689C"/>
    <w:rsid w:val="000C7573"/>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4EC2"/>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09B"/>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ACE"/>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0F55"/>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0ED"/>
    <w:rsid w:val="00200EEC"/>
    <w:rsid w:val="002025EF"/>
    <w:rsid w:val="002035C0"/>
    <w:rsid w:val="00207D59"/>
    <w:rsid w:val="0021100A"/>
    <w:rsid w:val="002140DC"/>
    <w:rsid w:val="002145DD"/>
    <w:rsid w:val="0021660C"/>
    <w:rsid w:val="0021678E"/>
    <w:rsid w:val="00217554"/>
    <w:rsid w:val="0021768C"/>
    <w:rsid w:val="002178D3"/>
    <w:rsid w:val="0022192B"/>
    <w:rsid w:val="00222565"/>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5EAE"/>
    <w:rsid w:val="0024606F"/>
    <w:rsid w:val="00246EFE"/>
    <w:rsid w:val="00251050"/>
    <w:rsid w:val="00251101"/>
    <w:rsid w:val="00251A97"/>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3A16"/>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1AE"/>
    <w:rsid w:val="00301B7D"/>
    <w:rsid w:val="00302227"/>
    <w:rsid w:val="00302536"/>
    <w:rsid w:val="00302B27"/>
    <w:rsid w:val="00302B4D"/>
    <w:rsid w:val="00303A73"/>
    <w:rsid w:val="00305449"/>
    <w:rsid w:val="0031014E"/>
    <w:rsid w:val="0031131E"/>
    <w:rsid w:val="00311D66"/>
    <w:rsid w:val="003126CF"/>
    <w:rsid w:val="00312E78"/>
    <w:rsid w:val="00313863"/>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7C5"/>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1BB"/>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476C"/>
    <w:rsid w:val="003F1589"/>
    <w:rsid w:val="003F20B3"/>
    <w:rsid w:val="003F3670"/>
    <w:rsid w:val="00400CFF"/>
    <w:rsid w:val="004018EB"/>
    <w:rsid w:val="00401B4C"/>
    <w:rsid w:val="004022F2"/>
    <w:rsid w:val="004025D6"/>
    <w:rsid w:val="004038D3"/>
    <w:rsid w:val="004043BD"/>
    <w:rsid w:val="00404A2B"/>
    <w:rsid w:val="00404C71"/>
    <w:rsid w:val="0040612C"/>
    <w:rsid w:val="004107B1"/>
    <w:rsid w:val="00410A03"/>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5BC"/>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68E6"/>
    <w:rsid w:val="00460D02"/>
    <w:rsid w:val="00460E47"/>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6BB0"/>
    <w:rsid w:val="00497026"/>
    <w:rsid w:val="0049728E"/>
    <w:rsid w:val="00497AB4"/>
    <w:rsid w:val="004A0C9A"/>
    <w:rsid w:val="004A1CAC"/>
    <w:rsid w:val="004A2013"/>
    <w:rsid w:val="004A2D64"/>
    <w:rsid w:val="004A2E19"/>
    <w:rsid w:val="004A34D4"/>
    <w:rsid w:val="004A4082"/>
    <w:rsid w:val="004A4790"/>
    <w:rsid w:val="004A4FFD"/>
    <w:rsid w:val="004A501F"/>
    <w:rsid w:val="004A69CB"/>
    <w:rsid w:val="004A74D2"/>
    <w:rsid w:val="004B0DDD"/>
    <w:rsid w:val="004B2F02"/>
    <w:rsid w:val="004B3987"/>
    <w:rsid w:val="004B3D42"/>
    <w:rsid w:val="004C1947"/>
    <w:rsid w:val="004C3F85"/>
    <w:rsid w:val="004C4374"/>
    <w:rsid w:val="004C5B13"/>
    <w:rsid w:val="004C649B"/>
    <w:rsid w:val="004C79CB"/>
    <w:rsid w:val="004D14D8"/>
    <w:rsid w:val="004D2689"/>
    <w:rsid w:val="004D27A5"/>
    <w:rsid w:val="004D2978"/>
    <w:rsid w:val="004D31B4"/>
    <w:rsid w:val="004D338D"/>
    <w:rsid w:val="004D3B28"/>
    <w:rsid w:val="004D4F3B"/>
    <w:rsid w:val="004D5271"/>
    <w:rsid w:val="004D5B7A"/>
    <w:rsid w:val="004D68AF"/>
    <w:rsid w:val="004D69CF"/>
    <w:rsid w:val="004D7161"/>
    <w:rsid w:val="004D7A33"/>
    <w:rsid w:val="004D7EB8"/>
    <w:rsid w:val="004E2625"/>
    <w:rsid w:val="004E2EBA"/>
    <w:rsid w:val="004E3108"/>
    <w:rsid w:val="004E4058"/>
    <w:rsid w:val="004E4ED5"/>
    <w:rsid w:val="004E5E68"/>
    <w:rsid w:val="004E735A"/>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38D6"/>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3E24"/>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0C6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272EA"/>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663"/>
    <w:rsid w:val="006C4BC5"/>
    <w:rsid w:val="006C4EEA"/>
    <w:rsid w:val="006C5350"/>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651C"/>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64F"/>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35"/>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350"/>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0B9"/>
    <w:rsid w:val="008A0764"/>
    <w:rsid w:val="008A0CC1"/>
    <w:rsid w:val="008A10DB"/>
    <w:rsid w:val="008A5BFE"/>
    <w:rsid w:val="008A5FEB"/>
    <w:rsid w:val="008A627D"/>
    <w:rsid w:val="008A6BBC"/>
    <w:rsid w:val="008B22DB"/>
    <w:rsid w:val="008B3D08"/>
    <w:rsid w:val="008B43ED"/>
    <w:rsid w:val="008B6231"/>
    <w:rsid w:val="008B6360"/>
    <w:rsid w:val="008C074D"/>
    <w:rsid w:val="008C10CC"/>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6FE4"/>
    <w:rsid w:val="008D74E3"/>
    <w:rsid w:val="008D760F"/>
    <w:rsid w:val="008E07F4"/>
    <w:rsid w:val="008E0B59"/>
    <w:rsid w:val="008E18F1"/>
    <w:rsid w:val="008E1AA7"/>
    <w:rsid w:val="008E491E"/>
    <w:rsid w:val="008E4AC4"/>
    <w:rsid w:val="008E70F1"/>
    <w:rsid w:val="008F022D"/>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185"/>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44A"/>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8A1"/>
    <w:rsid w:val="0094396B"/>
    <w:rsid w:val="00943A6E"/>
    <w:rsid w:val="0094488E"/>
    <w:rsid w:val="00945813"/>
    <w:rsid w:val="0094622F"/>
    <w:rsid w:val="009462DF"/>
    <w:rsid w:val="00947AB1"/>
    <w:rsid w:val="00947BB8"/>
    <w:rsid w:val="00950E34"/>
    <w:rsid w:val="00951813"/>
    <w:rsid w:val="00951A70"/>
    <w:rsid w:val="0095254C"/>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20C"/>
    <w:rsid w:val="00965763"/>
    <w:rsid w:val="00965F20"/>
    <w:rsid w:val="0097101E"/>
    <w:rsid w:val="009710A0"/>
    <w:rsid w:val="00971DE9"/>
    <w:rsid w:val="00973D39"/>
    <w:rsid w:val="009756A7"/>
    <w:rsid w:val="00975B8F"/>
    <w:rsid w:val="00976A01"/>
    <w:rsid w:val="00976F2B"/>
    <w:rsid w:val="0097706D"/>
    <w:rsid w:val="00977D5A"/>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F1"/>
    <w:rsid w:val="009C4418"/>
    <w:rsid w:val="009C57A7"/>
    <w:rsid w:val="009C6CEA"/>
    <w:rsid w:val="009D057D"/>
    <w:rsid w:val="009D3BD5"/>
    <w:rsid w:val="009D3F31"/>
    <w:rsid w:val="009D485D"/>
    <w:rsid w:val="009D6036"/>
    <w:rsid w:val="009D6BE9"/>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C91"/>
    <w:rsid w:val="00A11E5E"/>
    <w:rsid w:val="00A12160"/>
    <w:rsid w:val="00A1321A"/>
    <w:rsid w:val="00A13EAD"/>
    <w:rsid w:val="00A1485E"/>
    <w:rsid w:val="00A2040A"/>
    <w:rsid w:val="00A208FC"/>
    <w:rsid w:val="00A21296"/>
    <w:rsid w:val="00A21825"/>
    <w:rsid w:val="00A2182A"/>
    <w:rsid w:val="00A21BF9"/>
    <w:rsid w:val="00A23B5A"/>
    <w:rsid w:val="00A259B1"/>
    <w:rsid w:val="00A26B68"/>
    <w:rsid w:val="00A26EBC"/>
    <w:rsid w:val="00A33BF5"/>
    <w:rsid w:val="00A34402"/>
    <w:rsid w:val="00A34F2D"/>
    <w:rsid w:val="00A34F65"/>
    <w:rsid w:val="00A355B3"/>
    <w:rsid w:val="00A362FF"/>
    <w:rsid w:val="00A4088E"/>
    <w:rsid w:val="00A40D1B"/>
    <w:rsid w:val="00A41701"/>
    <w:rsid w:val="00A41DF6"/>
    <w:rsid w:val="00A42C13"/>
    <w:rsid w:val="00A43BDE"/>
    <w:rsid w:val="00A451D2"/>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67FD4"/>
    <w:rsid w:val="00A7125F"/>
    <w:rsid w:val="00A7173B"/>
    <w:rsid w:val="00A72FE5"/>
    <w:rsid w:val="00A745B0"/>
    <w:rsid w:val="00A74CAA"/>
    <w:rsid w:val="00A75503"/>
    <w:rsid w:val="00A756EC"/>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6B7"/>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1FE0"/>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059"/>
    <w:rsid w:val="00C02D44"/>
    <w:rsid w:val="00C03BE9"/>
    <w:rsid w:val="00C0460B"/>
    <w:rsid w:val="00C04C9C"/>
    <w:rsid w:val="00C0599A"/>
    <w:rsid w:val="00C05DCF"/>
    <w:rsid w:val="00C07C34"/>
    <w:rsid w:val="00C10465"/>
    <w:rsid w:val="00C11E34"/>
    <w:rsid w:val="00C12051"/>
    <w:rsid w:val="00C126F1"/>
    <w:rsid w:val="00C12A87"/>
    <w:rsid w:val="00C13914"/>
    <w:rsid w:val="00C13E3C"/>
    <w:rsid w:val="00C14208"/>
    <w:rsid w:val="00C14691"/>
    <w:rsid w:val="00C1495A"/>
    <w:rsid w:val="00C16D68"/>
    <w:rsid w:val="00C2034D"/>
    <w:rsid w:val="00C21FCE"/>
    <w:rsid w:val="00C22580"/>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6F5"/>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D28"/>
    <w:rsid w:val="00D35F51"/>
    <w:rsid w:val="00D36472"/>
    <w:rsid w:val="00D37619"/>
    <w:rsid w:val="00D404C8"/>
    <w:rsid w:val="00D41373"/>
    <w:rsid w:val="00D418CA"/>
    <w:rsid w:val="00D41B65"/>
    <w:rsid w:val="00D43C2D"/>
    <w:rsid w:val="00D43CFD"/>
    <w:rsid w:val="00D446A2"/>
    <w:rsid w:val="00D4477E"/>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9D4"/>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2AF"/>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3812"/>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46FA"/>
    <w:rsid w:val="00E35D35"/>
    <w:rsid w:val="00E400B1"/>
    <w:rsid w:val="00E40681"/>
    <w:rsid w:val="00E40C58"/>
    <w:rsid w:val="00E41651"/>
    <w:rsid w:val="00E41D76"/>
    <w:rsid w:val="00E45C9B"/>
    <w:rsid w:val="00E469B6"/>
    <w:rsid w:val="00E47210"/>
    <w:rsid w:val="00E47DB0"/>
    <w:rsid w:val="00E50F7D"/>
    <w:rsid w:val="00E5321E"/>
    <w:rsid w:val="00E5357C"/>
    <w:rsid w:val="00E54B12"/>
    <w:rsid w:val="00E60F9B"/>
    <w:rsid w:val="00E627E6"/>
    <w:rsid w:val="00E648C1"/>
    <w:rsid w:val="00E64E79"/>
    <w:rsid w:val="00E66282"/>
    <w:rsid w:val="00E66344"/>
    <w:rsid w:val="00E70DF4"/>
    <w:rsid w:val="00E71439"/>
    <w:rsid w:val="00E72928"/>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6C0"/>
    <w:rsid w:val="00EA284E"/>
    <w:rsid w:val="00EA2FE3"/>
    <w:rsid w:val="00EA39A9"/>
    <w:rsid w:val="00EA5A55"/>
    <w:rsid w:val="00EA60F5"/>
    <w:rsid w:val="00EA67F1"/>
    <w:rsid w:val="00EA7095"/>
    <w:rsid w:val="00EA7D5D"/>
    <w:rsid w:val="00EB094C"/>
    <w:rsid w:val="00EB0B53"/>
    <w:rsid w:val="00EB0B6B"/>
    <w:rsid w:val="00EB1460"/>
    <w:rsid w:val="00EB1DCC"/>
    <w:rsid w:val="00EB21C9"/>
    <w:rsid w:val="00EB2EBB"/>
    <w:rsid w:val="00EB336A"/>
    <w:rsid w:val="00EB4153"/>
    <w:rsid w:val="00EB5155"/>
    <w:rsid w:val="00EB54B6"/>
    <w:rsid w:val="00EB6F75"/>
    <w:rsid w:val="00EC08A1"/>
    <w:rsid w:val="00EC134B"/>
    <w:rsid w:val="00EC1872"/>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35B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1D"/>
    <w:rsid w:val="00F71845"/>
    <w:rsid w:val="00F74AA8"/>
    <w:rsid w:val="00F74D09"/>
    <w:rsid w:val="00F75643"/>
    <w:rsid w:val="00F765F8"/>
    <w:rsid w:val="00F776A2"/>
    <w:rsid w:val="00F81824"/>
    <w:rsid w:val="00F81EE2"/>
    <w:rsid w:val="00F84853"/>
    <w:rsid w:val="00F8657A"/>
    <w:rsid w:val="00F870B8"/>
    <w:rsid w:val="00F8787B"/>
    <w:rsid w:val="00F901A8"/>
    <w:rsid w:val="00F90FC5"/>
    <w:rsid w:val="00F91492"/>
    <w:rsid w:val="00F91BD9"/>
    <w:rsid w:val="00F91D8D"/>
    <w:rsid w:val="00F93621"/>
    <w:rsid w:val="00F95B4D"/>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706"/>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64E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000ED"/>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28</cp:revision>
  <cp:lastPrinted>2015-02-02T11:17:00Z</cp:lastPrinted>
  <dcterms:created xsi:type="dcterms:W3CDTF">2021-05-05T09:37:00Z</dcterms:created>
  <dcterms:modified xsi:type="dcterms:W3CDTF">2021-05-11T08:34:00Z</dcterms:modified>
</cp:coreProperties>
</file>